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1E86" w:rsidRDefault="00661E86">
      <w:pPr>
        <w:jc w:val="center"/>
      </w:pPr>
    </w:p>
    <w:p w:rsidR="00661E86" w:rsidRDefault="00661E86">
      <w:pPr>
        <w:jc w:val="center"/>
      </w:pPr>
    </w:p>
    <w:p w:rsidR="00661E86" w:rsidRDefault="00661E86">
      <w:pPr>
        <w:jc w:val="center"/>
      </w:pPr>
    </w:p>
    <w:p w:rsidR="008B7FAE" w:rsidRDefault="00D03B87">
      <w:pPr>
        <w:jc w:val="center"/>
      </w:pPr>
      <w:r>
        <w:rPr>
          <w:noProof/>
          <w:lang w:eastAsia="hu-HU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-201930</wp:posOffset>
            </wp:positionH>
            <wp:positionV relativeFrom="paragraph">
              <wp:posOffset>-114935</wp:posOffset>
            </wp:positionV>
            <wp:extent cx="968375" cy="968375"/>
            <wp:effectExtent l="19050" t="0" r="3175" b="0"/>
            <wp:wrapSquare wrapText="larges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-64" t="-64" r="-64" b="-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375" cy="968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7FAE" w:rsidRDefault="008B7FAE">
      <w:pPr>
        <w:jc w:val="center"/>
      </w:pPr>
      <w:proofErr w:type="gramStart"/>
      <w:r>
        <w:rPr>
          <w:b/>
          <w:i/>
          <w:sz w:val="28"/>
          <w:szCs w:val="28"/>
        </w:rPr>
        <w:t>Nóráp   község</w:t>
      </w:r>
      <w:proofErr w:type="gramEnd"/>
      <w:r>
        <w:rPr>
          <w:b/>
          <w:i/>
          <w:sz w:val="28"/>
          <w:szCs w:val="28"/>
        </w:rPr>
        <w:t xml:space="preserve"> Önkormányzat  Polgármesterétől </w:t>
      </w:r>
    </w:p>
    <w:p w:rsidR="008B7FAE" w:rsidRDefault="008B7FAE">
      <w:pPr>
        <w:jc w:val="center"/>
      </w:pPr>
      <w:r>
        <w:rPr>
          <w:b/>
          <w:i/>
          <w:sz w:val="28"/>
          <w:szCs w:val="28"/>
        </w:rPr>
        <w:t xml:space="preserve">8591 Nóráp Kossuth utca 48. </w:t>
      </w:r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  <w:r>
        <w:rPr>
          <w:b/>
          <w:i/>
          <w:sz w:val="28"/>
          <w:szCs w:val="28"/>
        </w:rPr>
        <w:t>Tel/fax</w:t>
      </w:r>
      <w:proofErr w:type="gramStart"/>
      <w:r>
        <w:rPr>
          <w:b/>
          <w:i/>
          <w:sz w:val="28"/>
          <w:szCs w:val="28"/>
        </w:rPr>
        <w:t>:  89</w:t>
      </w:r>
      <w:proofErr w:type="gramEnd"/>
      <w:r>
        <w:rPr>
          <w:b/>
          <w:i/>
          <w:sz w:val="28"/>
          <w:szCs w:val="28"/>
        </w:rPr>
        <w:t xml:space="preserve">/351-008  E-mail: </w:t>
      </w:r>
      <w:hyperlink r:id="rId5" w:history="1">
        <w:r>
          <w:rPr>
            <w:rStyle w:val="Hiperhivatkozs"/>
            <w:b/>
            <w:i/>
            <w:sz w:val="28"/>
            <w:szCs w:val="28"/>
          </w:rPr>
          <w:t>papakovacsi@globonet.hu</w:t>
        </w:r>
      </w:hyperlink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</w:p>
    <w:p w:rsidR="008B7FAE" w:rsidRDefault="008B7FAE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jc w:val="center"/>
      </w:pPr>
    </w:p>
    <w:p w:rsidR="00661E86" w:rsidRDefault="00661E86" w:rsidP="008801AE">
      <w:pPr>
        <w:ind w:left="284" w:right="142"/>
        <w:rPr>
          <w:rFonts w:ascii="Arial" w:hAnsi="Arial"/>
        </w:rPr>
      </w:pPr>
    </w:p>
    <w:p w:rsidR="00661E86" w:rsidRDefault="00661E86" w:rsidP="008801AE">
      <w:pPr>
        <w:ind w:left="284" w:right="142"/>
        <w:rPr>
          <w:rFonts w:ascii="Arial" w:hAnsi="Arial"/>
        </w:rPr>
      </w:pPr>
    </w:p>
    <w:p w:rsidR="008801AE" w:rsidRDefault="008801AE" w:rsidP="008801AE">
      <w:pPr>
        <w:ind w:left="284" w:right="142"/>
        <w:rPr>
          <w:rFonts w:ascii="Arial" w:hAnsi="Arial"/>
        </w:rPr>
      </w:pPr>
      <w:r>
        <w:rPr>
          <w:rFonts w:ascii="Arial" w:hAnsi="Arial"/>
        </w:rPr>
        <w:t xml:space="preserve">Szám: </w:t>
      </w:r>
      <w:proofErr w:type="spellStart"/>
      <w:r>
        <w:rPr>
          <w:rFonts w:ascii="Arial" w:hAnsi="Arial"/>
        </w:rPr>
        <w:t>Pk</w:t>
      </w:r>
      <w:proofErr w:type="spellEnd"/>
      <w:r>
        <w:rPr>
          <w:rFonts w:ascii="Arial" w:hAnsi="Arial"/>
        </w:rPr>
        <w:t xml:space="preserve"> 70-</w:t>
      </w:r>
      <w:r w:rsidR="00661E86">
        <w:rPr>
          <w:rFonts w:ascii="Arial" w:hAnsi="Arial"/>
        </w:rPr>
        <w:t>6</w:t>
      </w:r>
      <w:r>
        <w:rPr>
          <w:rFonts w:ascii="Arial" w:hAnsi="Arial"/>
        </w:rPr>
        <w:t>/2020.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8801AE" w:rsidRDefault="008801AE" w:rsidP="008801AE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  <w:b/>
          <w:bCs/>
          <w:color w:val="000000"/>
        </w:rPr>
      </w:pPr>
    </w:p>
    <w:p w:rsidR="008801AE" w:rsidRDefault="008801AE" w:rsidP="008801AE">
      <w:pPr>
        <w:ind w:left="284" w:right="142"/>
        <w:jc w:val="center"/>
        <w:rPr>
          <w:rFonts w:ascii="Arial" w:hAnsi="Arial"/>
          <w:b/>
          <w:bCs/>
          <w:color w:val="000000"/>
        </w:rPr>
      </w:pPr>
      <w:r>
        <w:rPr>
          <w:rFonts w:ascii="Arial" w:hAnsi="Arial"/>
          <w:b/>
          <w:bCs/>
          <w:color w:val="000000"/>
        </w:rPr>
        <w:t>POLGÁRMESTERI DÖNTÉS</w:t>
      </w:r>
    </w:p>
    <w:p w:rsidR="008801AE" w:rsidRDefault="008801AE" w:rsidP="008801AE">
      <w:pPr>
        <w:ind w:left="284" w:right="142"/>
        <w:jc w:val="center"/>
        <w:rPr>
          <w:rFonts w:ascii="Arial" w:hAnsi="Arial"/>
        </w:rPr>
      </w:pP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  <w:r>
        <w:rPr>
          <w:rFonts w:ascii="Arial" w:hAnsi="Arial"/>
        </w:rPr>
        <w:t>Magyarország Kormánya a</w:t>
      </w:r>
      <w:r>
        <w:rPr>
          <w:rFonts w:ascii="Arial" w:hAnsi="Arial"/>
          <w:spacing w:val="-5"/>
        </w:rPr>
        <w:t xml:space="preserve"> veszélyhelyzet kihirdetéséről szóló 40/2020. (III. 11.) Korm. rendelet 1. § értelmében az élet- és vagyonbiztonságot veszélyeztető tömeges megbetegedést okozó humánjárvány következményeinek elhárítása, a magyar állampolgárok egészégének és életének megóvása érdekében Magyarország egész területére veszélyhelyzetet hirdetett ki.</w:t>
      </w: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 katasztrófavédelemről és a hozzá kapcsolódó egyes törvények módosításáról 2011. évi CXXVIII. törvény 46.§. (4) bekezdésének felhatalmazása alapján veszélyhelyzetben a települési önkormányzat képviselő-testületének feladat- és hatáskörét a polgármester gyakorolja.</w:t>
      </w: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E rendelkezések alapján </w:t>
      </w:r>
      <w:proofErr w:type="gramStart"/>
      <w:r>
        <w:rPr>
          <w:rFonts w:ascii="Arial" w:hAnsi="Arial"/>
          <w:color w:val="000000"/>
        </w:rPr>
        <w:t>Nóráp  Önkormányzat</w:t>
      </w:r>
      <w:proofErr w:type="gramEnd"/>
      <w:r>
        <w:rPr>
          <w:rFonts w:ascii="Arial" w:hAnsi="Arial"/>
          <w:color w:val="000000"/>
        </w:rPr>
        <w:t xml:space="preserve"> Képviselő-testületének feladat- és hatáskörét gyakorolva a Polgármester a következő határozatot hozza:</w:t>
      </w:r>
    </w:p>
    <w:p w:rsidR="00661E86" w:rsidRDefault="00661E86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  <w:b/>
          <w:bCs/>
          <w:color w:val="000000"/>
        </w:rPr>
      </w:pPr>
    </w:p>
    <w:p w:rsidR="00661E86" w:rsidRDefault="008801AE" w:rsidP="00661E86">
      <w:pPr>
        <w:shd w:val="clear" w:color="auto" w:fill="FFFFFF"/>
        <w:ind w:right="142"/>
        <w:jc w:val="both"/>
        <w:outlineLvl w:val="0"/>
        <w:rPr>
          <w:rFonts w:ascii="Arial" w:hAnsi="Arial"/>
          <w:b/>
          <w:bCs/>
          <w:color w:val="000000"/>
          <w:u w:val="single"/>
        </w:rPr>
      </w:pPr>
      <w:r>
        <w:rPr>
          <w:rFonts w:ascii="Arial" w:hAnsi="Arial"/>
          <w:b/>
          <w:bCs/>
          <w:color w:val="000000"/>
        </w:rPr>
        <w:t xml:space="preserve">  </w:t>
      </w:r>
      <w:r>
        <w:rPr>
          <w:rFonts w:ascii="Arial" w:hAnsi="Arial"/>
          <w:b/>
          <w:bCs/>
          <w:color w:val="000000"/>
        </w:rPr>
        <w:tab/>
      </w:r>
      <w:r w:rsidR="002968DF">
        <w:rPr>
          <w:rFonts w:ascii="Arial" w:eastAsia="Arial" w:hAnsi="Arial" w:cs="Arial"/>
        </w:rPr>
        <w:tab/>
      </w:r>
      <w:r w:rsidR="002968DF">
        <w:rPr>
          <w:rFonts w:ascii="Arial" w:eastAsia="Arial" w:hAnsi="Arial" w:cs="Arial"/>
          <w:b/>
          <w:u w:val="single"/>
        </w:rPr>
        <w:t>1</w:t>
      </w:r>
      <w:r w:rsidR="00661E86">
        <w:rPr>
          <w:rFonts w:ascii="Arial" w:eastAsia="Arial" w:hAnsi="Arial" w:cs="Arial"/>
          <w:b/>
          <w:u w:val="single"/>
        </w:rPr>
        <w:t>8</w:t>
      </w:r>
      <w:r w:rsidR="002968DF">
        <w:rPr>
          <w:rFonts w:ascii="Arial" w:hAnsi="Arial"/>
          <w:b/>
          <w:bCs/>
          <w:color w:val="000000"/>
          <w:u w:val="single"/>
        </w:rPr>
        <w:t>/2020. (V</w:t>
      </w:r>
      <w:r w:rsidR="00661E86">
        <w:rPr>
          <w:rFonts w:ascii="Arial" w:hAnsi="Arial"/>
          <w:b/>
          <w:bCs/>
          <w:color w:val="000000"/>
          <w:u w:val="single"/>
        </w:rPr>
        <w:t>I.11.</w:t>
      </w:r>
      <w:r w:rsidR="002968DF">
        <w:rPr>
          <w:rFonts w:ascii="Arial" w:hAnsi="Arial"/>
          <w:b/>
          <w:bCs/>
          <w:color w:val="000000"/>
          <w:u w:val="single"/>
        </w:rPr>
        <w:t>) számú határozat</w:t>
      </w:r>
    </w:p>
    <w:p w:rsidR="00661E86" w:rsidRDefault="00661E86" w:rsidP="00661E86">
      <w:pPr>
        <w:shd w:val="clear" w:color="auto" w:fill="FFFFFF"/>
        <w:ind w:right="142"/>
        <w:jc w:val="both"/>
        <w:outlineLvl w:val="0"/>
        <w:rPr>
          <w:rFonts w:ascii="Liberation Serif" w:hAnsi="Liberation Serif" w:cs="Liberation Serif"/>
          <w:sz w:val="26"/>
          <w:szCs w:val="26"/>
          <w:lang w:eastAsia="hu-HU"/>
        </w:rPr>
      </w:pPr>
      <w:r>
        <w:rPr>
          <w:rFonts w:ascii="Arial" w:hAnsi="Arial"/>
          <w:bCs/>
          <w:color w:val="000000"/>
        </w:rPr>
        <w:t xml:space="preserve">Nóráp község önkormányzat polgármestere </w:t>
      </w:r>
      <w:proofErr w:type="gramStart"/>
      <w:r>
        <w:rPr>
          <w:rFonts w:ascii="Arial" w:hAnsi="Arial"/>
          <w:bCs/>
          <w:color w:val="000000"/>
        </w:rPr>
        <w:t xml:space="preserve">a </w:t>
      </w:r>
      <w:r w:rsidRPr="00661E86">
        <w:rPr>
          <w:rFonts w:ascii="Liberation Serif" w:hAnsi="Liberation Serif" w:cs="Liberation Serif"/>
          <w:sz w:val="26"/>
          <w:szCs w:val="26"/>
          <w:lang w:eastAsia="hu-HU"/>
        </w:rPr>
        <w:t xml:space="preserve"> Pápakovácsi</w:t>
      </w:r>
      <w:proofErr w:type="gramEnd"/>
      <w:r w:rsidRPr="00661E86">
        <w:rPr>
          <w:rFonts w:ascii="Liberation Serif" w:hAnsi="Liberation Serif" w:cs="Liberation Serif"/>
          <w:sz w:val="26"/>
          <w:szCs w:val="26"/>
          <w:lang w:eastAsia="hu-HU"/>
        </w:rPr>
        <w:t xml:space="preserve"> Mesevár Német Nemzetiségi </w:t>
      </w:r>
      <w:r>
        <w:rPr>
          <w:rFonts w:ascii="Liberation Serif" w:hAnsi="Liberation Serif" w:cs="Liberation Serif"/>
          <w:sz w:val="26"/>
          <w:szCs w:val="26"/>
          <w:lang w:eastAsia="hu-HU"/>
        </w:rPr>
        <w:t xml:space="preserve">Óvoda 2019. évi költségvetését </w:t>
      </w:r>
      <w:r w:rsidRPr="00661E86">
        <w:rPr>
          <w:rFonts w:ascii="Liberation Serif" w:hAnsi="Liberation Serif" w:cs="Liberation Serif"/>
          <w:sz w:val="26"/>
          <w:szCs w:val="26"/>
          <w:lang w:eastAsia="hu-HU"/>
        </w:rPr>
        <w:t xml:space="preserve"> a következők szerint határozza meg: az Óvoda bevételi és kiadási előirányzatait -618254 Ft összeggel csökkenti, az alábbiak szerint:</w:t>
      </w:r>
    </w:p>
    <w:p w:rsidR="00661E86" w:rsidRDefault="00661E86" w:rsidP="00661E86">
      <w:pPr>
        <w:shd w:val="clear" w:color="auto" w:fill="FFFFFF"/>
        <w:ind w:right="142"/>
        <w:jc w:val="both"/>
        <w:outlineLvl w:val="0"/>
        <w:rPr>
          <w:rFonts w:ascii="Liberation Serif" w:hAnsi="Liberation Serif" w:cs="Liberation Serif"/>
          <w:sz w:val="26"/>
          <w:szCs w:val="26"/>
          <w:lang w:eastAsia="hu-HU"/>
        </w:rPr>
      </w:pPr>
    </w:p>
    <w:p w:rsidR="00661E86" w:rsidRPr="00661E86" w:rsidRDefault="00661E86" w:rsidP="00661E86">
      <w:pPr>
        <w:shd w:val="clear" w:color="auto" w:fill="FFFFFF"/>
        <w:ind w:right="142"/>
        <w:jc w:val="both"/>
        <w:outlineLvl w:val="0"/>
        <w:rPr>
          <w:lang w:eastAsia="hu-HU"/>
        </w:rPr>
      </w:pPr>
    </w:p>
    <w:tbl>
      <w:tblPr>
        <w:tblW w:w="912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2"/>
        <w:gridCol w:w="1762"/>
        <w:gridCol w:w="1979"/>
        <w:gridCol w:w="2087"/>
      </w:tblGrid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Kiadási előirányzat</w:t>
            </w:r>
          </w:p>
        </w:tc>
        <w:tc>
          <w:tcPr>
            <w:tcW w:w="1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Eredeti előirányzat</w:t>
            </w:r>
            <w:r w:rsidRPr="00661E86">
              <w:rPr>
                <w:lang w:eastAsia="hu-HU"/>
              </w:rPr>
              <w:t> </w:t>
            </w:r>
          </w:p>
        </w:tc>
        <w:tc>
          <w:tcPr>
            <w:tcW w:w="19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Változás</w:t>
            </w:r>
            <w:r w:rsidRPr="00661E86">
              <w:rPr>
                <w:lang w:eastAsia="hu-HU"/>
              </w:rPr>
              <w:t> </w:t>
            </w:r>
          </w:p>
        </w:tc>
        <w:tc>
          <w:tcPr>
            <w:tcW w:w="20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Módosított előirányzat</w:t>
            </w:r>
            <w:r w:rsidRPr="00661E86">
              <w:rPr>
                <w:lang w:eastAsia="hu-HU"/>
              </w:rPr>
              <w:t> 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Személyi jellegű juttatások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18 541 915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-140 000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18 401 915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Munkaadót terhelő járulékok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3 858 085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-100 000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3 758 085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Dologi kiadások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7 862 055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-378 254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7483801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Összesen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30262055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-618 254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29 643 801</w:t>
            </w:r>
          </w:p>
        </w:tc>
      </w:tr>
    </w:tbl>
    <w:p w:rsidR="00661E86" w:rsidRDefault="00661E86" w:rsidP="00661E86">
      <w:pPr>
        <w:suppressAutoHyphens w:val="0"/>
        <w:spacing w:before="100" w:beforeAutospacing="1" w:after="142" w:line="288" w:lineRule="auto"/>
        <w:rPr>
          <w:lang w:eastAsia="hu-HU"/>
        </w:rPr>
      </w:pPr>
    </w:p>
    <w:p w:rsidR="00661E86" w:rsidRDefault="00661E86" w:rsidP="00661E86">
      <w:pPr>
        <w:suppressAutoHyphens w:val="0"/>
        <w:spacing w:before="100" w:beforeAutospacing="1" w:after="142" w:line="288" w:lineRule="auto"/>
        <w:rPr>
          <w:lang w:eastAsia="hu-HU"/>
        </w:rPr>
      </w:pPr>
    </w:p>
    <w:p w:rsidR="00661E86" w:rsidRDefault="00661E86" w:rsidP="00661E86">
      <w:pPr>
        <w:suppressAutoHyphens w:val="0"/>
        <w:spacing w:before="100" w:beforeAutospacing="1" w:after="142" w:line="288" w:lineRule="auto"/>
        <w:rPr>
          <w:lang w:eastAsia="hu-HU"/>
        </w:rPr>
      </w:pPr>
    </w:p>
    <w:p w:rsidR="00661E86" w:rsidRPr="00661E86" w:rsidRDefault="00661E86" w:rsidP="00661E86">
      <w:pPr>
        <w:suppressAutoHyphens w:val="0"/>
        <w:spacing w:before="100" w:beforeAutospacing="1" w:after="142" w:line="288" w:lineRule="auto"/>
        <w:rPr>
          <w:lang w:eastAsia="hu-HU"/>
        </w:rPr>
      </w:pPr>
    </w:p>
    <w:tbl>
      <w:tblPr>
        <w:tblW w:w="9075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93"/>
        <w:gridCol w:w="1824"/>
        <w:gridCol w:w="1917"/>
        <w:gridCol w:w="2041"/>
      </w:tblGrid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Bevételi előirányzat</w:t>
            </w:r>
          </w:p>
        </w:tc>
        <w:tc>
          <w:tcPr>
            <w:tcW w:w="17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Eredeti előirányzat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Változás</w:t>
            </w:r>
          </w:p>
        </w:tc>
        <w:tc>
          <w:tcPr>
            <w:tcW w:w="19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center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Módosított előirányzat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Ellátási díjak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500 000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151 465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651 465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 xml:space="preserve">Működési </w:t>
            </w:r>
            <w:proofErr w:type="spellStart"/>
            <w:r w:rsidRPr="00661E86">
              <w:rPr>
                <w:rFonts w:ascii="Arial" w:hAnsi="Arial" w:cs="Arial"/>
                <w:lang w:eastAsia="hu-HU"/>
              </w:rPr>
              <w:t>tám</w:t>
            </w:r>
            <w:proofErr w:type="gramStart"/>
            <w:r w:rsidRPr="00661E86">
              <w:rPr>
                <w:rFonts w:ascii="Arial" w:hAnsi="Arial" w:cs="Arial"/>
                <w:lang w:eastAsia="hu-HU"/>
              </w:rPr>
              <w:t>.áh</w:t>
            </w:r>
            <w:proofErr w:type="gramEnd"/>
            <w:r w:rsidRPr="00661E86">
              <w:rPr>
                <w:rFonts w:ascii="Arial" w:hAnsi="Arial" w:cs="Arial"/>
                <w:lang w:eastAsia="hu-HU"/>
              </w:rPr>
              <w:t>.belülről</w:t>
            </w:r>
            <w:proofErr w:type="spellEnd"/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95 000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95 000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Egyéb működési bevételek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1 871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281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2 152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Költségvetési maradvány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1 170 184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1 170 184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Irányítószervi támogatás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28 590 000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-865 000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lang w:eastAsia="hu-HU"/>
              </w:rPr>
              <w:t>27 725 000</w:t>
            </w:r>
          </w:p>
        </w:tc>
      </w:tr>
      <w:tr w:rsidR="00661E86" w:rsidRPr="00661E86" w:rsidTr="00661E86">
        <w:trPr>
          <w:tblCellSpacing w:w="0" w:type="dxa"/>
        </w:trPr>
        <w:tc>
          <w:tcPr>
            <w:tcW w:w="31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28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Összesen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30 265 055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-618 254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28" w:type="dxa"/>
              <w:right w:w="28" w:type="dxa"/>
            </w:tcMar>
            <w:hideMark/>
          </w:tcPr>
          <w:p w:rsidR="00661E86" w:rsidRPr="00661E86" w:rsidRDefault="00661E86" w:rsidP="00661E86">
            <w:pPr>
              <w:suppressAutoHyphens w:val="0"/>
              <w:spacing w:before="100" w:beforeAutospacing="1" w:after="142" w:line="288" w:lineRule="auto"/>
              <w:jc w:val="right"/>
              <w:rPr>
                <w:lang w:eastAsia="hu-HU"/>
              </w:rPr>
            </w:pPr>
            <w:r w:rsidRPr="00661E86">
              <w:rPr>
                <w:rFonts w:ascii="Arial" w:hAnsi="Arial" w:cs="Arial"/>
                <w:b/>
                <w:bCs/>
                <w:i/>
                <w:iCs/>
                <w:lang w:eastAsia="hu-HU"/>
              </w:rPr>
              <w:t>29 643 801</w:t>
            </w:r>
          </w:p>
        </w:tc>
      </w:tr>
    </w:tbl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>Nóráp 2020</w:t>
      </w:r>
      <w:r w:rsidR="00661E86">
        <w:rPr>
          <w:rFonts w:ascii="Arial" w:hAnsi="Arial"/>
        </w:rPr>
        <w:t xml:space="preserve">. június 11. </w:t>
      </w: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Antalné Ihász Mária</w:t>
      </w: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polgármester</w:t>
      </w:r>
      <w:proofErr w:type="gramEnd"/>
    </w:p>
    <w:p w:rsidR="008801AE" w:rsidRDefault="008801AE" w:rsidP="008801AE">
      <w:pPr>
        <w:shd w:val="clear" w:color="auto" w:fill="FFFFFF"/>
        <w:ind w:left="284" w:right="142"/>
        <w:jc w:val="both"/>
        <w:outlineLvl w:val="0"/>
        <w:rPr>
          <w:rFonts w:ascii="Arial" w:hAnsi="Arial"/>
        </w:rPr>
      </w:pPr>
    </w:p>
    <w:p w:rsidR="008801AE" w:rsidRDefault="008801AE" w:rsidP="008801AE">
      <w:pPr>
        <w:ind w:left="284" w:right="142"/>
        <w:jc w:val="both"/>
        <w:rPr>
          <w:rFonts w:ascii="Arial" w:hAnsi="Arial"/>
        </w:rPr>
      </w:pPr>
    </w:p>
    <w:p w:rsidR="008B7FAE" w:rsidRDefault="008B7FAE" w:rsidP="007E27A6">
      <w:pPr>
        <w:jc w:val="both"/>
      </w:pPr>
    </w:p>
    <w:sectPr w:rsidR="008B7FAE" w:rsidSect="000621B5">
      <w:pgSz w:w="12240" w:h="15840"/>
      <w:pgMar w:top="397" w:right="1418" w:bottom="397" w:left="1418" w:header="708" w:footer="708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7E27A6"/>
    <w:rsid w:val="00061352"/>
    <w:rsid w:val="000621B5"/>
    <w:rsid w:val="000C3247"/>
    <w:rsid w:val="00112561"/>
    <w:rsid w:val="002968DF"/>
    <w:rsid w:val="00661E86"/>
    <w:rsid w:val="007E27A6"/>
    <w:rsid w:val="008801AE"/>
    <w:rsid w:val="008B7FAE"/>
    <w:rsid w:val="00C05BBD"/>
    <w:rsid w:val="00C25031"/>
    <w:rsid w:val="00D03B87"/>
    <w:rsid w:val="00E37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21B5"/>
    <w:pPr>
      <w:suppressAutoHyphens/>
    </w:pPr>
    <w:rPr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0621B5"/>
    <w:rPr>
      <w:rFonts w:ascii="Times New Roman" w:eastAsia="Times New Roman" w:hAnsi="Times New Roman" w:cs="Times New Roman" w:hint="default"/>
    </w:rPr>
  </w:style>
  <w:style w:type="character" w:customStyle="1" w:styleId="WW8Num1z1">
    <w:name w:val="WW8Num1z1"/>
    <w:rsid w:val="000621B5"/>
    <w:rPr>
      <w:rFonts w:ascii="Courier New" w:hAnsi="Courier New" w:cs="Courier New" w:hint="default"/>
    </w:rPr>
  </w:style>
  <w:style w:type="character" w:customStyle="1" w:styleId="WW8Num1z2">
    <w:name w:val="WW8Num1z2"/>
    <w:rsid w:val="000621B5"/>
    <w:rPr>
      <w:rFonts w:ascii="Wingdings" w:hAnsi="Wingdings" w:cs="Wingdings" w:hint="default"/>
    </w:rPr>
  </w:style>
  <w:style w:type="character" w:customStyle="1" w:styleId="WW8Num1z3">
    <w:name w:val="WW8Num1z3"/>
    <w:rsid w:val="000621B5"/>
    <w:rPr>
      <w:rFonts w:ascii="Symbol" w:hAnsi="Symbol" w:cs="Symbol" w:hint="default"/>
    </w:rPr>
  </w:style>
  <w:style w:type="character" w:customStyle="1" w:styleId="Bekezdsalapbettpusa1">
    <w:name w:val="Bekezdés alapbetűtípusa1"/>
    <w:rsid w:val="000621B5"/>
  </w:style>
  <w:style w:type="character" w:styleId="Hiperhivatkozs">
    <w:name w:val="Hyperlink"/>
    <w:basedOn w:val="Bekezdsalapbettpusa1"/>
    <w:rsid w:val="000621B5"/>
    <w:rPr>
      <w:color w:val="0000FF"/>
      <w:u w:val="single"/>
    </w:rPr>
  </w:style>
  <w:style w:type="paragraph" w:customStyle="1" w:styleId="Cmsor">
    <w:name w:val="Címsor"/>
    <w:basedOn w:val="Norml"/>
    <w:next w:val="Szvegtrzs"/>
    <w:rsid w:val="000621B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621B5"/>
    <w:pPr>
      <w:spacing w:after="140" w:line="288" w:lineRule="auto"/>
    </w:pPr>
  </w:style>
  <w:style w:type="paragraph" w:styleId="Lista">
    <w:name w:val="List"/>
    <w:basedOn w:val="Szvegtrzs"/>
    <w:rsid w:val="000621B5"/>
    <w:rPr>
      <w:rFonts w:cs="Mangal"/>
    </w:rPr>
  </w:style>
  <w:style w:type="paragraph" w:styleId="Kpalrs">
    <w:name w:val="caption"/>
    <w:basedOn w:val="Norml"/>
    <w:qFormat/>
    <w:rsid w:val="000621B5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0621B5"/>
    <w:pPr>
      <w:suppressLineNumbers/>
    </w:pPr>
    <w:rPr>
      <w:rFonts w:cs="Mangal"/>
    </w:rPr>
  </w:style>
  <w:style w:type="paragraph" w:styleId="Buborkszveg">
    <w:name w:val="Balloon Text"/>
    <w:basedOn w:val="Norml"/>
    <w:rsid w:val="000621B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semiHidden/>
    <w:unhideWhenUsed/>
    <w:rsid w:val="007E27A6"/>
    <w:pPr>
      <w:suppressAutoHyphens w:val="0"/>
      <w:spacing w:before="100" w:beforeAutospacing="1" w:after="142" w:line="288" w:lineRule="auto"/>
    </w:pPr>
    <w:rPr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apakovacsi@globonet.h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252</Words>
  <Characters>1742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Pápakovácsi község Polgármestere</vt:lpstr>
    </vt:vector>
  </TitlesOfParts>
  <Company/>
  <LinksUpToDate>false</LinksUpToDate>
  <CharactersWithSpaces>1991</CharactersWithSpaces>
  <SharedDoc>false</SharedDoc>
  <HLinks>
    <vt:vector size="6" baseType="variant">
      <vt:variant>
        <vt:i4>2883595</vt:i4>
      </vt:variant>
      <vt:variant>
        <vt:i4>0</vt:i4>
      </vt:variant>
      <vt:variant>
        <vt:i4>0</vt:i4>
      </vt:variant>
      <vt:variant>
        <vt:i4>5</vt:i4>
      </vt:variant>
      <vt:variant>
        <vt:lpwstr>mailto:papakovacsi@globonet.hu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Pápakovácsi község Polgármestere</dc:title>
  <dc:creator>FEFO</dc:creator>
  <cp:lastModifiedBy>user</cp:lastModifiedBy>
  <cp:revision>2</cp:revision>
  <cp:lastPrinted>2020-06-11T14:14:00Z</cp:lastPrinted>
  <dcterms:created xsi:type="dcterms:W3CDTF">2020-06-11T14:15:00Z</dcterms:created>
  <dcterms:modified xsi:type="dcterms:W3CDTF">2020-06-11T14:15:00Z</dcterms:modified>
</cp:coreProperties>
</file>